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85C4D">
      <w:pPr>
        <w:jc w:val="center"/>
        <w:rPr>
          <w:rFonts w:hint="default" w:asciiTheme="minorEastAsia" w:hAnsiTheme="minorEastAsia" w:eastAsiaTheme="minorEastAsia"/>
          <w:b/>
          <w:sz w:val="36"/>
          <w:szCs w:val="36"/>
          <w:lang w:val="en-US" w:eastAsia="zh-CN"/>
        </w:rPr>
      </w:pPr>
      <w:bookmarkStart w:id="0" w:name="_GoBack"/>
      <w:bookmarkEnd w:id="0"/>
      <w:r>
        <w:rPr>
          <w:rFonts w:hint="eastAsia" w:asciiTheme="minorEastAsia" w:hAnsiTheme="minorEastAsia"/>
          <w:b/>
          <w:sz w:val="36"/>
          <w:szCs w:val="36"/>
          <w:lang w:val="en-US" w:eastAsia="zh-CN"/>
        </w:rPr>
        <w:t>附件1-莆田开放大学网管中心网络安全项目升级等服务项目参数要求</w:t>
      </w:r>
    </w:p>
    <w:p w14:paraId="7B866676">
      <w:pPr>
        <w:jc w:val="center"/>
        <w:rPr>
          <w:rFonts w:asciiTheme="minorEastAsia" w:hAnsiTheme="minorEastAsia"/>
          <w:b/>
          <w:sz w:val="36"/>
          <w:szCs w:val="36"/>
        </w:rPr>
      </w:pPr>
    </w:p>
    <w:tbl>
      <w:tblPr>
        <w:tblStyle w:val="5"/>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592"/>
        <w:gridCol w:w="2814"/>
        <w:gridCol w:w="981"/>
        <w:gridCol w:w="1386"/>
        <w:gridCol w:w="930"/>
      </w:tblGrid>
      <w:tr w14:paraId="0FCF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58" w:type="dxa"/>
            <w:shd w:val="clear" w:color="auto" w:fill="auto"/>
            <w:vAlign w:val="center"/>
          </w:tcPr>
          <w:p w14:paraId="5176588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592" w:type="dxa"/>
            <w:shd w:val="clear" w:color="auto" w:fill="auto"/>
            <w:vAlign w:val="center"/>
          </w:tcPr>
          <w:p w14:paraId="42CCEEA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服务项</w:t>
            </w:r>
          </w:p>
        </w:tc>
        <w:tc>
          <w:tcPr>
            <w:tcW w:w="2814" w:type="dxa"/>
            <w:shd w:val="clear" w:color="auto" w:fill="auto"/>
            <w:vAlign w:val="center"/>
          </w:tcPr>
          <w:p w14:paraId="22BF24FA">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参数</w:t>
            </w:r>
          </w:p>
        </w:tc>
        <w:tc>
          <w:tcPr>
            <w:tcW w:w="981" w:type="dxa"/>
            <w:shd w:val="clear" w:color="auto" w:fill="auto"/>
            <w:vAlign w:val="center"/>
          </w:tcPr>
          <w:p w14:paraId="39DD074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w:t>
            </w:r>
          </w:p>
          <w:p w14:paraId="6E8E6A1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（元）</w:t>
            </w:r>
          </w:p>
        </w:tc>
        <w:tc>
          <w:tcPr>
            <w:tcW w:w="1386" w:type="dxa"/>
            <w:shd w:val="clear" w:color="auto" w:fill="auto"/>
            <w:vAlign w:val="center"/>
          </w:tcPr>
          <w:p w14:paraId="1EFEA04C">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合计</w:t>
            </w:r>
          </w:p>
          <w:p w14:paraId="55BD164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（元）</w:t>
            </w:r>
          </w:p>
        </w:tc>
        <w:tc>
          <w:tcPr>
            <w:tcW w:w="930" w:type="dxa"/>
            <w:shd w:val="clear" w:color="auto" w:fill="auto"/>
            <w:vAlign w:val="center"/>
          </w:tcPr>
          <w:p w14:paraId="23AD3AF7">
            <w:pPr>
              <w:widowControl/>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备注</w:t>
            </w:r>
          </w:p>
        </w:tc>
      </w:tr>
      <w:tr w14:paraId="2DCF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8" w:type="dxa"/>
            <w:shd w:val="clear" w:color="auto" w:fill="auto"/>
            <w:vAlign w:val="center"/>
          </w:tcPr>
          <w:p w14:paraId="4E7933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92" w:type="dxa"/>
            <w:shd w:val="clear" w:color="auto" w:fill="auto"/>
            <w:vAlign w:val="center"/>
          </w:tcPr>
          <w:p w14:paraId="77417C1C">
            <w:pPr>
              <w:widowControl/>
              <w:jc w:val="left"/>
              <w:rPr>
                <w:rFonts w:hint="default" w:cs="宋体" w:asciiTheme="minorEastAsia" w:hAnsiTheme="minorEastAsia" w:eastAsiaTheme="minorEastAsia"/>
                <w:color w:val="000000"/>
                <w:kern w:val="0"/>
                <w:sz w:val="24"/>
                <w:szCs w:val="24"/>
                <w:lang w:val="en-US" w:eastAsia="zh-CN"/>
              </w:rPr>
            </w:pPr>
            <w:r>
              <w:rPr>
                <w:rFonts w:hint="eastAsia" w:ascii="宋体" w:hAnsi="宋体" w:eastAsia="宋体" w:cs="宋体"/>
                <w:color w:val="000000"/>
                <w:kern w:val="0"/>
                <w:sz w:val="24"/>
                <w:szCs w:val="24"/>
                <w:lang w:val="en-US" w:eastAsia="zh-CN"/>
              </w:rPr>
              <w:t>安全网关（含防火墙、入侵防御、防病毒模块）</w:t>
            </w:r>
          </w:p>
        </w:tc>
        <w:tc>
          <w:tcPr>
            <w:tcW w:w="2814" w:type="dxa"/>
            <w:shd w:val="clear" w:color="auto" w:fill="auto"/>
            <w:vAlign w:val="center"/>
          </w:tcPr>
          <w:p w14:paraId="1B742185">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标准1U设备，支持双电源；标准配置不低于10个千兆电口及2个光口，1个接口扩展槽位；网络吞吐≥4G，应用吞吐≥600M，最大并发连接数≥30万。含下一代防火墙访问控制、入侵防御、网络防病毒、URL分类管理模块。</w:t>
            </w:r>
          </w:p>
          <w:p w14:paraId="78AFA7E4">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2.支持恶意域名过滤，实现对C&amp;C进行阻断；支持HTTP、FTP、SMTP、POP3、IMAP、NFS等协议的病毒防护；支持对常见应用服务（HTTP、FTP、SSH、SMTP、IMAP）和数据库软件（MySQL、Oracle、MSSQL）的口令暴力破解防护功能。</w:t>
            </w:r>
          </w:p>
          <w:p w14:paraId="62ACC906">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支持用户流量配额管理；支持基于用户/用户组、应用、URL、ip地址、接口、安全域、VLAN、服务/服务组等对象进行带宽限制；支持每IP，每用户的最大连接数限制，防护服务器；策略路由支持的匹配条件不少于源IP/目的IP，服务类型，应用类型，用户(组)，入接口，DSCP优先级。安全大脑防护版可为客户提供下一代防火墙、防病毒、集中统一运维、定期安全报告等更丰富功能，提供防火墙访问控制、入侵防御、网络防病毒、 URL 分类管理模块，提供三年升级维保服务，通过云端提供安全日志数据的存储，包括IPS日志、AV日志等；提供丰富的安全事件可视化的服务门户，包括移动端服务小程序，提供安全概览、安全报告下载、高危事件、失陷告警等通知提醒；对于不具备维护能力和安全事件处理能力的客户，可以将设备维护、安全事件处理等事宜提交给安全专家进行代维操作，安全专家定期提供报告；支持用户根据需要自定义安全报告模板，支持安全报告按天/周/月和自定义时间段通过邮件、服务号发送用户，报告内容包含网络安全概览、攻击数、已拦截数、攻击趋势、安全事件、失陷主机、防病毒/IPS/URL趋势、设备概况等。设备提供三年维保；</w:t>
            </w:r>
          </w:p>
        </w:tc>
        <w:tc>
          <w:tcPr>
            <w:tcW w:w="981" w:type="dxa"/>
            <w:shd w:val="clear" w:color="auto" w:fill="auto"/>
            <w:vAlign w:val="center"/>
          </w:tcPr>
          <w:p w14:paraId="2B73163C">
            <w:pPr>
              <w:jc w:val="center"/>
              <w:rPr>
                <w:rFonts w:hint="default" w:ascii="宋体" w:hAnsi="宋体" w:eastAsia="宋体" w:cs="宋体"/>
                <w:color w:val="000000"/>
                <w:sz w:val="24"/>
                <w:szCs w:val="24"/>
                <w:lang w:val="en-US" w:eastAsia="zh-CN"/>
              </w:rPr>
            </w:pPr>
          </w:p>
        </w:tc>
        <w:tc>
          <w:tcPr>
            <w:tcW w:w="1386" w:type="dxa"/>
            <w:shd w:val="clear" w:color="auto" w:fill="auto"/>
            <w:vAlign w:val="center"/>
          </w:tcPr>
          <w:p w14:paraId="00049721">
            <w:pPr>
              <w:jc w:val="center"/>
              <w:rPr>
                <w:rFonts w:hint="default" w:ascii="宋体" w:hAnsi="宋体" w:eastAsia="宋体" w:cs="宋体"/>
                <w:color w:val="000000"/>
                <w:sz w:val="24"/>
                <w:szCs w:val="24"/>
                <w:lang w:val="en-US" w:eastAsia="zh-CN"/>
              </w:rPr>
            </w:pPr>
          </w:p>
        </w:tc>
        <w:tc>
          <w:tcPr>
            <w:tcW w:w="930" w:type="dxa"/>
            <w:shd w:val="clear" w:color="auto" w:fill="auto"/>
            <w:vAlign w:val="center"/>
          </w:tcPr>
          <w:p w14:paraId="6CD12B18">
            <w:pPr>
              <w:jc w:val="center"/>
              <w:rPr>
                <w:rFonts w:hint="default" w:eastAsiaTheme="minorEastAsia"/>
                <w:color w:val="000000"/>
                <w:sz w:val="24"/>
                <w:szCs w:val="24"/>
                <w:lang w:val="en-US" w:eastAsia="zh-CN"/>
              </w:rPr>
            </w:pPr>
          </w:p>
        </w:tc>
      </w:tr>
      <w:tr w14:paraId="1223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58" w:type="dxa"/>
            <w:shd w:val="clear" w:color="auto" w:fill="auto"/>
            <w:vAlign w:val="center"/>
          </w:tcPr>
          <w:p w14:paraId="01A8FF83">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592" w:type="dxa"/>
            <w:shd w:val="clear" w:color="auto" w:fill="auto"/>
            <w:vAlign w:val="center"/>
          </w:tcPr>
          <w:p w14:paraId="61B6E391">
            <w:pPr>
              <w:widowControl/>
              <w:jc w:val="left"/>
              <w:rPr>
                <w:rFonts w:hint="default" w:cs="宋体" w:asciiTheme="minorEastAsia" w:hAnsiTheme="minorEastAsia" w:eastAsiaTheme="minorEastAsia"/>
                <w:color w:val="000000"/>
                <w:kern w:val="0"/>
                <w:sz w:val="24"/>
                <w:szCs w:val="24"/>
                <w:lang w:val="en-US" w:eastAsia="zh-CN"/>
              </w:rPr>
            </w:pPr>
            <w:r>
              <w:rPr>
                <w:rFonts w:hint="eastAsia" w:ascii="宋体" w:hAnsi="宋体" w:eastAsia="宋体" w:cs="宋体"/>
                <w:color w:val="000000"/>
                <w:kern w:val="0"/>
                <w:sz w:val="24"/>
                <w:szCs w:val="24"/>
                <w:lang w:val="en-US" w:eastAsia="zh-CN" w:bidi="ar-SA"/>
              </w:rPr>
              <w:t>合规管理平台（含日志审计和堡垒机模块）</w:t>
            </w:r>
          </w:p>
        </w:tc>
        <w:tc>
          <w:tcPr>
            <w:tcW w:w="2814" w:type="dxa"/>
            <w:shd w:val="clear" w:color="auto" w:fill="auto"/>
            <w:vAlign w:val="center"/>
          </w:tcPr>
          <w:p w14:paraId="55611B53">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合规系统：CPU：8核、内存：16G、硬盘：128G；网络安全合规管理平台是面向客户网络安全合规领域建设的解决方案级平台，支撑网络安全等级保护业务工作开展、数据监管与分析、安全状况评价、态势呈现及日常工作管理支撑的等级保护综合管理平台。旨在为客户解决在安全制度落地、等级保护测评、网络安全监督检查等方面的问题，产品设计涵盖了合规检查、定级备案、等保自查、安全制度管理、资产管理和漏洞管理等多项功能，有效协助客户建立更规范化的网络安全合规管理体系（支持本地或云化部署，提供日志审计、堡垒机功能，）；日志审计功能：提供统一日志收集、呈现、分析的安全日志管理能力，提供5个日志源授权；运维审计功能：提供集账号管理、身份认证、单点登录、资源授权、访问控制和操作审计为一体的运维安全审计服务，提供20个资产授权；设备提供三年维保；</w:t>
            </w:r>
          </w:p>
        </w:tc>
        <w:tc>
          <w:tcPr>
            <w:tcW w:w="981" w:type="dxa"/>
            <w:shd w:val="clear" w:color="auto" w:fill="auto"/>
            <w:vAlign w:val="center"/>
          </w:tcPr>
          <w:p w14:paraId="0C875242">
            <w:pPr>
              <w:jc w:val="center"/>
              <w:rPr>
                <w:rFonts w:hint="default" w:ascii="宋体" w:hAnsi="宋体" w:eastAsia="宋体" w:cs="宋体"/>
                <w:color w:val="000000"/>
                <w:sz w:val="24"/>
                <w:szCs w:val="24"/>
                <w:lang w:val="en-US" w:eastAsia="zh-CN"/>
              </w:rPr>
            </w:pPr>
          </w:p>
        </w:tc>
        <w:tc>
          <w:tcPr>
            <w:tcW w:w="1386" w:type="dxa"/>
            <w:shd w:val="clear" w:color="auto" w:fill="auto"/>
            <w:vAlign w:val="center"/>
          </w:tcPr>
          <w:p w14:paraId="2BC94E64">
            <w:pPr>
              <w:jc w:val="center"/>
              <w:rPr>
                <w:rFonts w:hint="default" w:ascii="宋体" w:hAnsi="宋体" w:eastAsia="宋体" w:cs="宋体"/>
                <w:color w:val="000000"/>
                <w:sz w:val="24"/>
                <w:szCs w:val="24"/>
                <w:lang w:val="en-US" w:eastAsia="zh-CN"/>
              </w:rPr>
            </w:pPr>
          </w:p>
        </w:tc>
        <w:tc>
          <w:tcPr>
            <w:tcW w:w="930" w:type="dxa"/>
            <w:shd w:val="clear" w:color="auto" w:fill="auto"/>
            <w:vAlign w:val="center"/>
          </w:tcPr>
          <w:p w14:paraId="5F652571">
            <w:pPr>
              <w:jc w:val="center"/>
              <w:rPr>
                <w:rFonts w:hint="eastAsia"/>
                <w:color w:val="000000"/>
                <w:sz w:val="24"/>
                <w:szCs w:val="24"/>
              </w:rPr>
            </w:pPr>
          </w:p>
        </w:tc>
      </w:tr>
      <w:tr w14:paraId="235D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58" w:type="dxa"/>
            <w:shd w:val="clear" w:color="auto" w:fill="auto"/>
            <w:vAlign w:val="center"/>
          </w:tcPr>
          <w:p w14:paraId="7DF95851">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592" w:type="dxa"/>
            <w:shd w:val="clear" w:color="auto" w:fill="auto"/>
            <w:vAlign w:val="center"/>
          </w:tcPr>
          <w:p w14:paraId="0F083854">
            <w:pPr>
              <w:widowControl/>
              <w:jc w:val="left"/>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color w:val="000000"/>
                <w:kern w:val="0"/>
                <w:sz w:val="24"/>
                <w:szCs w:val="24"/>
                <w:lang w:val="en-US" w:eastAsia="zh-CN"/>
              </w:rPr>
              <w:t>等保咨询</w:t>
            </w:r>
          </w:p>
        </w:tc>
        <w:tc>
          <w:tcPr>
            <w:tcW w:w="2814" w:type="dxa"/>
            <w:shd w:val="clear" w:color="auto" w:fill="auto"/>
            <w:vAlign w:val="center"/>
          </w:tcPr>
          <w:p w14:paraId="50D696CD">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对莆田市开放大学系统开展差距分析、基线核查等工作，出具差距分析报告。协助莆田市开放大学对营收系统的安全加固。按照上级管理部门要求和等级保护要求协助莆田市开放大学进行管理制度梳理。</w:t>
            </w:r>
          </w:p>
        </w:tc>
        <w:tc>
          <w:tcPr>
            <w:tcW w:w="981" w:type="dxa"/>
            <w:shd w:val="clear" w:color="auto" w:fill="auto"/>
            <w:vAlign w:val="center"/>
          </w:tcPr>
          <w:p w14:paraId="70C8048F">
            <w:pPr>
              <w:jc w:val="center"/>
              <w:rPr>
                <w:rFonts w:hint="default" w:ascii="宋体" w:hAnsi="宋体" w:eastAsia="宋体" w:cs="宋体"/>
                <w:color w:val="000000"/>
                <w:kern w:val="2"/>
                <w:sz w:val="24"/>
                <w:szCs w:val="24"/>
                <w:lang w:val="en-US" w:eastAsia="zh-CN" w:bidi="ar-SA"/>
              </w:rPr>
            </w:pPr>
          </w:p>
        </w:tc>
        <w:tc>
          <w:tcPr>
            <w:tcW w:w="1386" w:type="dxa"/>
            <w:shd w:val="clear" w:color="auto" w:fill="auto"/>
            <w:vAlign w:val="center"/>
          </w:tcPr>
          <w:p w14:paraId="0679EDF3">
            <w:pPr>
              <w:jc w:val="center"/>
              <w:rPr>
                <w:rFonts w:hint="default" w:ascii="宋体" w:hAnsi="宋体" w:eastAsia="宋体" w:cs="宋体"/>
                <w:color w:val="000000"/>
                <w:kern w:val="2"/>
                <w:sz w:val="24"/>
                <w:szCs w:val="24"/>
                <w:lang w:val="en-US" w:eastAsia="zh-CN" w:bidi="ar-SA"/>
              </w:rPr>
            </w:pPr>
          </w:p>
        </w:tc>
        <w:tc>
          <w:tcPr>
            <w:tcW w:w="930" w:type="dxa"/>
            <w:shd w:val="clear" w:color="auto" w:fill="auto"/>
            <w:vAlign w:val="center"/>
          </w:tcPr>
          <w:p w14:paraId="6BB247F6">
            <w:pPr>
              <w:jc w:val="center"/>
              <w:rPr>
                <w:rFonts w:hint="eastAsia"/>
                <w:color w:val="000000"/>
                <w:sz w:val="24"/>
                <w:szCs w:val="24"/>
              </w:rPr>
            </w:pPr>
          </w:p>
        </w:tc>
      </w:tr>
      <w:tr w14:paraId="31D5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58" w:type="dxa"/>
            <w:shd w:val="clear" w:color="auto" w:fill="auto"/>
            <w:vAlign w:val="center"/>
          </w:tcPr>
          <w:p w14:paraId="7D6903F7">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592" w:type="dxa"/>
            <w:shd w:val="clear" w:color="auto" w:fill="auto"/>
            <w:vAlign w:val="center"/>
          </w:tcPr>
          <w:p w14:paraId="401842A7">
            <w:pPr>
              <w:widowControl/>
              <w:jc w:val="left"/>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color w:val="000000"/>
                <w:kern w:val="0"/>
                <w:sz w:val="24"/>
                <w:szCs w:val="24"/>
                <w:lang w:val="en-US" w:eastAsia="zh-CN"/>
              </w:rPr>
              <w:t>二级等保测评</w:t>
            </w:r>
          </w:p>
        </w:tc>
        <w:tc>
          <w:tcPr>
            <w:tcW w:w="2814" w:type="dxa"/>
            <w:shd w:val="clear" w:color="auto" w:fill="auto"/>
            <w:vAlign w:val="center"/>
          </w:tcPr>
          <w:p w14:paraId="242C63F3">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对莆田市开放大学系统按照等级保护要求展开测评，出具测评报告。</w:t>
            </w:r>
          </w:p>
        </w:tc>
        <w:tc>
          <w:tcPr>
            <w:tcW w:w="981" w:type="dxa"/>
            <w:shd w:val="clear" w:color="auto" w:fill="auto"/>
            <w:vAlign w:val="center"/>
          </w:tcPr>
          <w:p w14:paraId="09ED5BCD">
            <w:pPr>
              <w:jc w:val="center"/>
              <w:rPr>
                <w:rFonts w:hint="default" w:ascii="宋体" w:hAnsi="宋体" w:eastAsia="宋体" w:cs="宋体"/>
                <w:color w:val="000000"/>
                <w:kern w:val="2"/>
                <w:sz w:val="24"/>
                <w:szCs w:val="24"/>
                <w:lang w:val="en-US" w:eastAsia="zh-CN" w:bidi="ar-SA"/>
              </w:rPr>
            </w:pPr>
          </w:p>
        </w:tc>
        <w:tc>
          <w:tcPr>
            <w:tcW w:w="1386" w:type="dxa"/>
            <w:shd w:val="clear" w:color="auto" w:fill="auto"/>
            <w:vAlign w:val="center"/>
          </w:tcPr>
          <w:p w14:paraId="0E7C73B5">
            <w:pPr>
              <w:jc w:val="center"/>
              <w:rPr>
                <w:rFonts w:hint="default" w:ascii="宋体" w:hAnsi="宋体" w:eastAsia="宋体" w:cs="宋体"/>
                <w:color w:val="000000"/>
                <w:kern w:val="2"/>
                <w:sz w:val="24"/>
                <w:szCs w:val="24"/>
                <w:lang w:val="en-US" w:eastAsia="zh-CN" w:bidi="ar-SA"/>
              </w:rPr>
            </w:pPr>
          </w:p>
        </w:tc>
        <w:tc>
          <w:tcPr>
            <w:tcW w:w="930" w:type="dxa"/>
            <w:shd w:val="clear" w:color="auto" w:fill="auto"/>
            <w:vAlign w:val="center"/>
          </w:tcPr>
          <w:p w14:paraId="792EE369">
            <w:pPr>
              <w:jc w:val="center"/>
              <w:rPr>
                <w:rFonts w:hint="default" w:eastAsiaTheme="minorEastAsia"/>
                <w:color w:val="000000"/>
                <w:sz w:val="24"/>
                <w:szCs w:val="24"/>
                <w:lang w:val="en-US" w:eastAsia="zh-CN"/>
              </w:rPr>
            </w:pPr>
          </w:p>
        </w:tc>
      </w:tr>
      <w:tr w14:paraId="0B0B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145" w:type="dxa"/>
            <w:gridSpan w:val="4"/>
            <w:shd w:val="clear" w:color="auto" w:fill="auto"/>
            <w:vAlign w:val="center"/>
          </w:tcPr>
          <w:p w14:paraId="60DC30D5">
            <w:pPr>
              <w:jc w:val="center"/>
              <w:rPr>
                <w:rFonts w:hint="default" w:eastAsia="宋体"/>
                <w:color w:val="000000"/>
                <w:sz w:val="24"/>
                <w:szCs w:val="24"/>
                <w:lang w:val="en-US" w:eastAsia="zh-CN"/>
              </w:rPr>
            </w:pPr>
            <w:r>
              <w:rPr>
                <w:rFonts w:hint="eastAsia" w:eastAsia="宋体"/>
                <w:color w:val="000000"/>
                <w:sz w:val="24"/>
                <w:szCs w:val="24"/>
                <w:lang w:val="en-US" w:eastAsia="zh-CN"/>
              </w:rPr>
              <w:t>合计</w:t>
            </w:r>
          </w:p>
        </w:tc>
        <w:tc>
          <w:tcPr>
            <w:tcW w:w="1386" w:type="dxa"/>
            <w:shd w:val="clear" w:color="auto" w:fill="auto"/>
            <w:vAlign w:val="center"/>
          </w:tcPr>
          <w:p w14:paraId="0839F700">
            <w:pPr>
              <w:jc w:val="center"/>
              <w:rPr>
                <w:rFonts w:hint="default" w:eastAsia="宋体"/>
                <w:color w:val="000000"/>
                <w:sz w:val="24"/>
                <w:szCs w:val="24"/>
                <w:lang w:val="en-US" w:eastAsia="zh-CN"/>
              </w:rPr>
            </w:pPr>
          </w:p>
        </w:tc>
        <w:tc>
          <w:tcPr>
            <w:tcW w:w="930" w:type="dxa"/>
            <w:shd w:val="clear" w:color="auto" w:fill="auto"/>
            <w:vAlign w:val="center"/>
          </w:tcPr>
          <w:p w14:paraId="3BBBD827">
            <w:pPr>
              <w:jc w:val="center"/>
              <w:rPr>
                <w:rFonts w:hint="eastAsia"/>
                <w:color w:val="000000"/>
                <w:sz w:val="24"/>
                <w:szCs w:val="24"/>
              </w:rPr>
            </w:pPr>
          </w:p>
        </w:tc>
      </w:tr>
    </w:tbl>
    <w:p w14:paraId="573E044F">
      <w:pPr>
        <w:pStyle w:val="2"/>
        <w:keepNext w:val="0"/>
        <w:keepLines w:val="0"/>
        <w:widowControl/>
        <w:suppressLineNumbers w:val="0"/>
        <w:jc w:val="left"/>
        <w:rPr>
          <w:rFonts w:hint="eastAsia" w:asciiTheme="minorHAnsi" w:hAnsiTheme="minorHAnsi" w:eastAsiaTheme="minorEastAsia" w:cstheme="minorBidi"/>
          <w:b w:val="0"/>
          <w:bCs w:val="0"/>
          <w:kern w:val="2"/>
          <w:sz w:val="28"/>
          <w:szCs w:val="28"/>
          <w:lang w:val="en-US" w:eastAsia="zh-CN" w:bidi="ar-SA"/>
        </w:rPr>
      </w:pPr>
    </w:p>
    <w:p w14:paraId="51A87E5D">
      <w:pPr>
        <w:pStyle w:val="2"/>
        <w:keepNext w:val="0"/>
        <w:keepLines w:val="0"/>
        <w:widowControl/>
        <w:suppressLineNumbers w:val="0"/>
        <w:jc w:val="left"/>
        <w:rPr>
          <w:rFonts w:hint="eastAsia" w:asciiTheme="minorHAnsi" w:hAnsiTheme="minorHAnsi" w:eastAsiaTheme="minorEastAsia" w:cstheme="minorBidi"/>
          <w:b w:val="0"/>
          <w:bCs w:val="0"/>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ZjVkYzg4MDdkNjhjYmQ0NDA2NDJiNGZhNzA1NWUifQ=="/>
  </w:docVars>
  <w:rsids>
    <w:rsidRoot w:val="006018D5"/>
    <w:rsid w:val="00181924"/>
    <w:rsid w:val="002A7E18"/>
    <w:rsid w:val="003044EA"/>
    <w:rsid w:val="00413BC4"/>
    <w:rsid w:val="006018D5"/>
    <w:rsid w:val="006F2D11"/>
    <w:rsid w:val="00844F10"/>
    <w:rsid w:val="00963B72"/>
    <w:rsid w:val="00B326B5"/>
    <w:rsid w:val="00BE3D8E"/>
    <w:rsid w:val="00BE63F1"/>
    <w:rsid w:val="00E138DB"/>
    <w:rsid w:val="00FE2F48"/>
    <w:rsid w:val="02EE039E"/>
    <w:rsid w:val="04876B19"/>
    <w:rsid w:val="08AB700E"/>
    <w:rsid w:val="0CD805D8"/>
    <w:rsid w:val="0DB72B15"/>
    <w:rsid w:val="20757ABF"/>
    <w:rsid w:val="20C44448"/>
    <w:rsid w:val="21931D72"/>
    <w:rsid w:val="24B52F37"/>
    <w:rsid w:val="297A4C65"/>
    <w:rsid w:val="2D3F2A43"/>
    <w:rsid w:val="33F2320B"/>
    <w:rsid w:val="3DEE6DAB"/>
    <w:rsid w:val="4A297397"/>
    <w:rsid w:val="508B708D"/>
    <w:rsid w:val="65991CD9"/>
    <w:rsid w:val="703F4F03"/>
    <w:rsid w:val="786012B0"/>
    <w:rsid w:val="7B43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1226</Words>
  <Characters>1316</Characters>
  <Lines>3</Lines>
  <Paragraphs>1</Paragraphs>
  <TotalTime>5</TotalTime>
  <ScaleCrop>false</ScaleCrop>
  <LinksUpToDate>false</LinksUpToDate>
  <CharactersWithSpaces>1318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2024-08-09T03:23:00Z</dcterms:created>
  <dc:creator>dell</dc:creator>
  <cp:lastModifiedBy>吴辽</cp:lastModifiedBy>
  <dcterms:modified xsi:type="dcterms:W3CDTF">2025-08-18T09:16:49Z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A82304FB835E47718B74DEC9F57098EE_13</vt:lpwstr>
  </property>
  <property fmtid="{D5CDD505-2E9C-101B-9397-08002B2CF9AE}" pid="4" name="KSOTemplateDocerSaveRecord">
    <vt:lpwstr>eyJoZGlkIjoiYjVkZWFlZjIzZGY2ODJkNmMyZDExZjAxNzI0MDVlOWMiLCJ1c2VySWQiOiI0MjYwMzQwMjIifQ==</vt:lpwstr>
  </property>
</Properties>
</file>